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E0F68">
      <w:pPr>
        <w:pStyle w:val="1"/>
      </w:pPr>
      <w:r>
        <w:rPr>
          <w:rStyle w:val="a4"/>
          <w:b/>
          <w:bCs/>
        </w:rPr>
        <w:t>Определение СК по административным делам Верховного Суда РФ от 8 апреля 2015 г. N 59-КГ15-2</w:t>
      </w:r>
    </w:p>
    <w:p w:rsidR="00000000" w:rsidRDefault="001E0F68"/>
    <w:p w:rsidR="00000000" w:rsidRDefault="001E0F68">
      <w:r>
        <w:t>Судебная коллегия по административным делам Верховного Суда Российской Федерации в составе:</w:t>
      </w:r>
    </w:p>
    <w:p w:rsidR="00000000" w:rsidRDefault="001E0F68">
      <w:r>
        <w:t>председательствующего Меркулове В.П.,</w:t>
      </w:r>
    </w:p>
    <w:p w:rsidR="00000000" w:rsidRDefault="001E0F68">
      <w:r>
        <w:t xml:space="preserve">судей Горчаковой Е.В. и </w:t>
      </w:r>
      <w:proofErr w:type="spellStart"/>
      <w:r>
        <w:t>Калининой</w:t>
      </w:r>
      <w:proofErr w:type="spellEnd"/>
      <w:r>
        <w:t> Л.А.</w:t>
      </w:r>
    </w:p>
    <w:p w:rsidR="00000000" w:rsidRDefault="001E0F68">
      <w:r>
        <w:t>при секретаре Костереве Д.А.</w:t>
      </w:r>
    </w:p>
    <w:p w:rsidR="00000000" w:rsidRDefault="001E0F68">
      <w:r>
        <w:t>рассмотрела в открытом судебном заседании дело</w:t>
      </w:r>
    </w:p>
    <w:p w:rsidR="00000000" w:rsidRDefault="001E0F68">
      <w:r>
        <w:t>по заявлени</w:t>
      </w:r>
      <w:r>
        <w:t xml:space="preserve">ю </w:t>
      </w:r>
      <w:proofErr w:type="spellStart"/>
      <w:r>
        <w:t>Ваца</w:t>
      </w:r>
      <w:proofErr w:type="spellEnd"/>
      <w:r>
        <w:t> В.А.</w:t>
      </w:r>
    </w:p>
    <w:p w:rsidR="00000000" w:rsidRDefault="001E0F68">
      <w:r>
        <w:t>об оспаривании решения налогового органа о привлечении к налоговой ответственности за совершение налогового правонарушения</w:t>
      </w:r>
    </w:p>
    <w:p w:rsidR="00000000" w:rsidRDefault="001E0F68">
      <w:r>
        <w:t>по кассационной жалобе Межрайонной инспекции Федеральной налоговой службы России N 1 по Амурской области (далее - МИФНС Р</w:t>
      </w:r>
      <w:r>
        <w:t>оссии N 1 по Амурской области)</w:t>
      </w:r>
    </w:p>
    <w:p w:rsidR="00000000" w:rsidRDefault="001E0F68">
      <w:r>
        <w:t>на апелляционное определение судебной коллегии по гражданским делам Амурского областного суда от 12 февраля 2014 г.</w:t>
      </w:r>
    </w:p>
    <w:p w:rsidR="00000000" w:rsidRDefault="001E0F68">
      <w:r>
        <w:t>Заслушав доклад судьи Верховного Суда Российской Федерации Горчаковой Е.В., пояснения представителя Управлени</w:t>
      </w:r>
      <w:r>
        <w:t xml:space="preserve">я Федеральной налоговой службы по Амурской области и МИФНС России N 1 по Амурской области по доверенности </w:t>
      </w:r>
      <w:proofErr w:type="spellStart"/>
      <w:r>
        <w:t>Супруненко</w:t>
      </w:r>
      <w:proofErr w:type="spellEnd"/>
      <w:r>
        <w:t> О.С., поддержавшей доводы кассационной жалобы, Судебная коллегия по административным делам Верховного Суда Российской Федерации установила:</w:t>
      </w:r>
    </w:p>
    <w:p w:rsidR="00000000" w:rsidRDefault="001E0F68">
      <w:r>
        <w:t xml:space="preserve">решением Благовещенского городского суда Амурской области от 5 сентября 2013 г. в удовлетворении заявления </w:t>
      </w:r>
      <w:proofErr w:type="spellStart"/>
      <w:r>
        <w:t>Ваца</w:t>
      </w:r>
      <w:proofErr w:type="spellEnd"/>
      <w:r>
        <w:t xml:space="preserve"> В.А. о признании незаконным решения МИФНС России N 1 по Амурской области от 29 марта 2013 г. N 12-48/06 о привлечении его к ответственности за </w:t>
      </w:r>
      <w:r>
        <w:t>совершение налогового правонарушения отказано.</w:t>
      </w:r>
    </w:p>
    <w:p w:rsidR="00000000" w:rsidRDefault="001E0F68">
      <w:r>
        <w:t>Апелляционным определением судебной коллегии по гражданским делам Амурского областного суда от 12 февраля 2014 г, указанное решение суда отменено и принято новое решение, которым признано незаконным решение МИ</w:t>
      </w:r>
      <w:r>
        <w:t xml:space="preserve">ФНС России N 1 по Амурской области от 29 марта 2013 г. N 12-48/06 о привлечении </w:t>
      </w:r>
      <w:proofErr w:type="spellStart"/>
      <w:r>
        <w:t>Ваца</w:t>
      </w:r>
      <w:proofErr w:type="spellEnd"/>
      <w:r>
        <w:t> В.А. к ответственности за совершение налогового правонарушения.</w:t>
      </w:r>
    </w:p>
    <w:p w:rsidR="00000000" w:rsidRDefault="001E0F68">
      <w:r>
        <w:t>Определением судьи Амурского областного суда от 26 июня 2014 г. МИФНС России N 1 по Амурской области отказа</w:t>
      </w:r>
      <w:r>
        <w:t>но в передаче кассационной жалобы для рассмотрения судом кассационной инстанции.</w:t>
      </w:r>
    </w:p>
    <w:p w:rsidR="00000000" w:rsidRDefault="001E0F68">
      <w:r>
        <w:t>По запросу судьи Верховного Суда Российской Федерации от 7 ноября 2014 г. дело истребовано в Верховный Суд Российской Федерации, определением от 16 февраля 2015 г. кассационна</w:t>
      </w:r>
      <w:r>
        <w:t>я жалоба с делом передана для рассмотрения в судебном заседании Судебной коллегии по административным делам Верховного Суда Российской Федерации.</w:t>
      </w:r>
    </w:p>
    <w:p w:rsidR="00000000" w:rsidRDefault="001E0F68">
      <w:r>
        <w:t>В кассационной жалобе ставится вопрос об отмене апелляционного определения суда и оставлении в силе решения су</w:t>
      </w:r>
      <w:r>
        <w:t>да первой инстанции.</w:t>
      </w:r>
    </w:p>
    <w:p w:rsidR="00000000" w:rsidRDefault="001E0F68">
      <w:r>
        <w:t xml:space="preserve">Лица, участвующие в деле, о времени и месте судебного разбирательства извещены надлежащим образом, в судебное заседание суда кассационной инстанции </w:t>
      </w:r>
      <w:proofErr w:type="spellStart"/>
      <w:r>
        <w:t>Вац</w:t>
      </w:r>
      <w:proofErr w:type="spellEnd"/>
      <w:r>
        <w:t> В.А. не явился.</w:t>
      </w:r>
    </w:p>
    <w:p w:rsidR="00000000" w:rsidRDefault="001E0F68">
      <w:r>
        <w:t xml:space="preserve">В соответствии с положениями </w:t>
      </w:r>
      <w:r>
        <w:rPr>
          <w:rStyle w:val="a4"/>
        </w:rPr>
        <w:t>ча</w:t>
      </w:r>
      <w:r>
        <w:rPr>
          <w:rStyle w:val="a4"/>
        </w:rPr>
        <w:t>сти 2 статьи 385</w:t>
      </w:r>
      <w:r>
        <w:t xml:space="preserve"> Гражданского процессуального кодекса Российской Федерации Судебная коллегия по административным делам Верховного Суда Российской Федерации считает возможным рассмотрение дела в отсутствие заявителя.</w:t>
      </w:r>
    </w:p>
    <w:p w:rsidR="00000000" w:rsidRDefault="001E0F68">
      <w:r>
        <w:lastRenderedPageBreak/>
        <w:t>Проверив материалы дела, обсудив дово</w:t>
      </w:r>
      <w:r>
        <w:t>ды кассационной жалобы, Судебная коллегия по административным делам Верховного Суда Российской Федерации приходит к следующему.</w:t>
      </w:r>
    </w:p>
    <w:p w:rsidR="00000000" w:rsidRDefault="001E0F68">
      <w:r>
        <w:t>Основаниями для отмены или изменения судебных постановлений в кассационном порядке являются существенные нарушения норм материал</w:t>
      </w:r>
      <w:r>
        <w:t>ьного права или норм процессуального права, которые повлияли на исход дела и без устранения которых невозможны восстановление и защита нарушенных прав, свобод и законных интересов, а также защита охраняемых законом публичных интересов (</w:t>
      </w:r>
      <w:r>
        <w:rPr>
          <w:rStyle w:val="a4"/>
        </w:rPr>
        <w:t>статья 387</w:t>
      </w:r>
      <w:r>
        <w:t xml:space="preserve"> Гражданского процессуального кодекса Российской Федерации).</w:t>
      </w:r>
    </w:p>
    <w:p w:rsidR="00000000" w:rsidRDefault="001E0F68">
      <w:r>
        <w:t>Судебная коллегия по административным делам Верховного Суда Российской Федерации считает, что судом апелляционной инстанции при рассмотрении настоящего дела допущено т</w:t>
      </w:r>
      <w:r>
        <w:t>акого характера существенное нарушение норм материального права.</w:t>
      </w:r>
    </w:p>
    <w:p w:rsidR="00000000" w:rsidRDefault="001E0F68">
      <w:r>
        <w:t>Из материалов дела усматривается, что решением МИФНС России N 1 по Амурской области от 29 марта 2013 г., оставленным без изменения решением УФНС России по Амурской области от 30 апреля 2013 г</w:t>
      </w:r>
      <w:r>
        <w:t xml:space="preserve">., </w:t>
      </w:r>
      <w:proofErr w:type="spellStart"/>
      <w:r>
        <w:t>Вац</w:t>
      </w:r>
      <w:proofErr w:type="spellEnd"/>
      <w:r>
        <w:t> В.А. привлечён к ответственности за совершение налогового правонарушения в связи с неуплатой налога на добавленную стоимость (НДС) за фактическое осуществление предпринимательской деятельности в виде оказания услуг по сдаче в аренду находящихся в со</w:t>
      </w:r>
      <w:r>
        <w:t xml:space="preserve">бственности нежилого помещения и земельного участка, расположенных по адресу: ... обл., г. ..., филиалу ОАО "Мобильные </w:t>
      </w:r>
      <w:proofErr w:type="spellStart"/>
      <w:r>
        <w:t>ТелеСистемы</w:t>
      </w:r>
      <w:proofErr w:type="spellEnd"/>
      <w:r>
        <w:t>".</w:t>
      </w:r>
    </w:p>
    <w:p w:rsidR="00000000" w:rsidRDefault="001E0F68">
      <w:r>
        <w:t xml:space="preserve">Суд первой инстанции, отказывая </w:t>
      </w:r>
      <w:proofErr w:type="spellStart"/>
      <w:r>
        <w:t>Вацу</w:t>
      </w:r>
      <w:proofErr w:type="spellEnd"/>
      <w:r>
        <w:t> В.А. в удовлетворении заявления о признании незаконным решения налогового органа о при</w:t>
      </w:r>
      <w:r>
        <w:t xml:space="preserve">влечении к ответственности за совершение налогового правонарушения, проанализировал в системном единстве правовые предписания </w:t>
      </w:r>
      <w:r>
        <w:rPr>
          <w:rStyle w:val="a4"/>
        </w:rPr>
        <w:t>статей 11</w:t>
      </w:r>
      <w:r>
        <w:t xml:space="preserve">, </w:t>
      </w:r>
      <w:r>
        <w:rPr>
          <w:rStyle w:val="a4"/>
        </w:rPr>
        <w:t>23</w:t>
      </w:r>
      <w:r>
        <w:t xml:space="preserve">, </w:t>
      </w:r>
      <w:r>
        <w:rPr>
          <w:rStyle w:val="a4"/>
        </w:rPr>
        <w:t>30-32</w:t>
      </w:r>
      <w:r>
        <w:t xml:space="preserve">, </w:t>
      </w:r>
      <w:r>
        <w:rPr>
          <w:rStyle w:val="a4"/>
        </w:rPr>
        <w:t>122</w:t>
      </w:r>
      <w:r>
        <w:t xml:space="preserve">, </w:t>
      </w:r>
      <w:r>
        <w:rPr>
          <w:rStyle w:val="a4"/>
        </w:rPr>
        <w:t>143</w:t>
      </w:r>
      <w:r>
        <w:t xml:space="preserve">, </w:t>
      </w:r>
      <w:r>
        <w:rPr>
          <w:rStyle w:val="a4"/>
        </w:rPr>
        <w:t>146</w:t>
      </w:r>
      <w:r>
        <w:t xml:space="preserve">, </w:t>
      </w:r>
      <w:r>
        <w:rPr>
          <w:rStyle w:val="a4"/>
        </w:rPr>
        <w:t>209</w:t>
      </w:r>
      <w:r>
        <w:t xml:space="preserve"> Налогового кодекса Российской Федерации и </w:t>
      </w:r>
      <w:r>
        <w:rPr>
          <w:rStyle w:val="a4"/>
        </w:rPr>
        <w:t xml:space="preserve">статей </w:t>
      </w:r>
      <w:r>
        <w:rPr>
          <w:rStyle w:val="a4"/>
        </w:rPr>
        <w:t>2</w:t>
      </w:r>
      <w:r>
        <w:t xml:space="preserve"> и </w:t>
      </w:r>
      <w:r>
        <w:rPr>
          <w:rStyle w:val="a4"/>
        </w:rPr>
        <w:t>614</w:t>
      </w:r>
      <w:r>
        <w:t xml:space="preserve"> Гражданского кодекса Российской Федерации и сделал заключение, что заявитель, сдавая имущество в аренду, занимался предпринимательской деятельностью, поскольку заключённые договоры аренды нежилых помещений б</w:t>
      </w:r>
      <w:r>
        <w:t>ыли направлены на регулярное извлечение прибыли от передачи прав пользования имуществом, приобретённым для целей, не связанных с личными нуждами и намерением его использовать по назначению самостоятельно, и получение прибыли носит систематический характер.</w:t>
      </w:r>
    </w:p>
    <w:p w:rsidR="00000000" w:rsidRDefault="001E0F68">
      <w:r>
        <w:t>Суд апелляционной инстанции, отменяя решение суда первой инстанции, не согласился с его выводами, посчитав, что они не соответствуют фактическим обстоятельствам дела и нормам материального права, регулирующим спорные отношения.</w:t>
      </w:r>
    </w:p>
    <w:p w:rsidR="00000000" w:rsidRDefault="001E0F68">
      <w:r>
        <w:t xml:space="preserve">При этом судебная коллегия </w:t>
      </w:r>
      <w:r>
        <w:t>по гражданским делам указала, что сдача в аренду принадлежащего физическому лицу на праве собственности имущества является реализацией собственником своего законного права на распоряжение имуществом, в связи с чем не содержит необходимых элементов, характе</w:t>
      </w:r>
      <w:r>
        <w:t>ризующих понятие экономической деятельности.</w:t>
      </w:r>
    </w:p>
    <w:p w:rsidR="00000000" w:rsidRDefault="001E0F68">
      <w:r>
        <w:t xml:space="preserve">Кроме того, суд апелляционной инстанции принял во внимание пояснения </w:t>
      </w:r>
      <w:proofErr w:type="spellStart"/>
      <w:r>
        <w:t>Ваца</w:t>
      </w:r>
      <w:proofErr w:type="spellEnd"/>
      <w:r>
        <w:t> В.А. о приобретении административного здания с целью дальнейшей перепродажи, которая не была достигнута в планируемый срок, в связи с чем</w:t>
      </w:r>
      <w:r>
        <w:t xml:space="preserve"> им было принято решение о сдаче его в аренду. Данные обстоятельства, по мнению судебной коллегии, свидетельствуют о том, что доходы, полученные </w:t>
      </w:r>
      <w:proofErr w:type="spellStart"/>
      <w:r>
        <w:t>Вацом</w:t>
      </w:r>
      <w:proofErr w:type="spellEnd"/>
      <w:r>
        <w:t> В.А. от сдачи в аренду имущества, являются объектом обложения налогом на доходы физических лиц (НДФЛ).</w:t>
      </w:r>
    </w:p>
    <w:p w:rsidR="00000000" w:rsidRDefault="001E0F68">
      <w:r>
        <w:t xml:space="preserve">С </w:t>
      </w:r>
      <w:r>
        <w:t>такими выводами суда апелляционной инстанции Судебная коллегия по административным делам согласиться не может ввиду их несоответствия нормам материального права.</w:t>
      </w:r>
    </w:p>
    <w:p w:rsidR="00000000" w:rsidRDefault="001E0F68">
      <w:r>
        <w:t xml:space="preserve">Из предписаний </w:t>
      </w:r>
      <w:r>
        <w:rPr>
          <w:rStyle w:val="a4"/>
        </w:rPr>
        <w:t>абзаца третьего пункта 1 статьи 2</w:t>
      </w:r>
      <w:r>
        <w:t xml:space="preserve"> Гражда</w:t>
      </w:r>
      <w:r>
        <w:t>нского кодекса Российской Федерации (далее - ГК РФ) следует, что 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</w:t>
      </w:r>
      <w:r>
        <w:t>я работ или оказания услуг лицами, зарегистрированными в этом качестве в установленном законом порядке.</w:t>
      </w:r>
    </w:p>
    <w:p w:rsidR="00000000" w:rsidRDefault="001E0F68">
      <w:r>
        <w:t xml:space="preserve">В силу требований </w:t>
      </w:r>
      <w:r>
        <w:rPr>
          <w:rStyle w:val="a4"/>
        </w:rPr>
        <w:t>пункта 1 статьи 23</w:t>
      </w:r>
      <w:r>
        <w:t xml:space="preserve"> ГК РФ у физического лица при осуществлении предпринимательской деятельности </w:t>
      </w:r>
      <w:r>
        <w:t>возникает обязанность зарегистрироваться в качестве индивидуального предпринимателя.</w:t>
      </w:r>
    </w:p>
    <w:p w:rsidR="00000000" w:rsidRDefault="001E0F68">
      <w:r>
        <w:t xml:space="preserve">Гражданин, осуществляющий предпринимательскую деятельность без образования юридического лица с нарушением требований </w:t>
      </w:r>
      <w:r>
        <w:rPr>
          <w:rStyle w:val="a4"/>
        </w:rPr>
        <w:t>пункта 1</w:t>
      </w:r>
      <w:r>
        <w:t xml:space="preserve"> приведённой статьи, не вправе ссылаться в отношении заключённых им при этом сделок на то, что он не является предпринимателем (</w:t>
      </w:r>
      <w:r>
        <w:rPr>
          <w:rStyle w:val="a4"/>
        </w:rPr>
        <w:t>пункт 4</w:t>
      </w:r>
      <w:r>
        <w:t xml:space="preserve"> этой же нормы).</w:t>
      </w:r>
    </w:p>
    <w:p w:rsidR="00000000" w:rsidRDefault="001E0F68">
      <w:r>
        <w:rPr>
          <w:rStyle w:val="a4"/>
        </w:rPr>
        <w:t>Абзацем четвёртым пункта 2 с</w:t>
      </w:r>
      <w:r>
        <w:rPr>
          <w:rStyle w:val="a4"/>
        </w:rPr>
        <w:t>татьи 11</w:t>
      </w:r>
      <w:r>
        <w:t xml:space="preserve"> Налогового кодекса Российской Федерации предусмотрено, что физические лица, осуществляющие предпринимательскую деятельность без образования юридического лица, но не зарегистрировавшиеся в качестве индивидуальных предпринимателей в нарушение тре</w:t>
      </w:r>
      <w:r>
        <w:t xml:space="preserve">бований </w:t>
      </w:r>
      <w:r>
        <w:rPr>
          <w:rStyle w:val="a4"/>
        </w:rPr>
        <w:t>гражданского законодательства</w:t>
      </w:r>
      <w:r>
        <w:t xml:space="preserve"> Российской Федерации, при исполнении обязанностей, возложенных на них поименованным Кодексом, не вправе ссылаться на то, что они не являются индивидуальными предпринимателями.</w:t>
      </w:r>
    </w:p>
    <w:p w:rsidR="00000000" w:rsidRDefault="001E0F68">
      <w:r>
        <w:t>Из со</w:t>
      </w:r>
      <w:r>
        <w:t xml:space="preserve">вокупного анализа приведённых правовых предписаний следует, что законодатель связывает необходимость регистрации физического лица в качестве индивидуального предпринимателя с осуществлением им предпринимательской деятельности, указанной в </w:t>
      </w:r>
      <w:r>
        <w:rPr>
          <w:rStyle w:val="a4"/>
        </w:rPr>
        <w:t>пункте 1 статьи 2</w:t>
      </w:r>
      <w:r>
        <w:t xml:space="preserve"> ГК РФ, о наличии которой в действиях гражданина могут свидетельствовать, в частности, приобретение имущества с целью последующего извлечения прибыли от его использования или реализации.</w:t>
      </w:r>
    </w:p>
    <w:p w:rsidR="00000000" w:rsidRDefault="001E0F68">
      <w:r>
        <w:rPr>
          <w:rStyle w:val="a4"/>
        </w:rPr>
        <w:t>Пунктом 2 статьи 11</w:t>
      </w:r>
      <w:r>
        <w:t xml:space="preserve">, </w:t>
      </w:r>
      <w:r>
        <w:rPr>
          <w:rStyle w:val="a4"/>
        </w:rPr>
        <w:t>статьёй 143</w:t>
      </w:r>
      <w:r>
        <w:t xml:space="preserve">, </w:t>
      </w:r>
      <w:r>
        <w:rPr>
          <w:rStyle w:val="a4"/>
        </w:rPr>
        <w:t>подпунктом 1 пункта 1 статьи 146</w:t>
      </w:r>
      <w:r>
        <w:t xml:space="preserve"> Налогового кодекса Российской Федерации установлена обязанность по исчислению и уплате НДС в отношен</w:t>
      </w:r>
      <w:r>
        <w:t>ии индивидуальных предпринимателей и физических лиц, не зарегистрированных в качестве индивидуального предпринимателя, но осуществляющих предпринимательскую деятельность.</w:t>
      </w:r>
    </w:p>
    <w:p w:rsidR="00000000" w:rsidRDefault="001E0F68">
      <w:r>
        <w:t xml:space="preserve">На основании </w:t>
      </w:r>
      <w:r>
        <w:rPr>
          <w:rStyle w:val="a4"/>
        </w:rPr>
        <w:t>пунктов 2</w:t>
      </w:r>
      <w:r>
        <w:t xml:space="preserve">, </w:t>
      </w:r>
      <w:r>
        <w:rPr>
          <w:rStyle w:val="a4"/>
        </w:rPr>
        <w:t>5</w:t>
      </w:r>
      <w:r>
        <w:t xml:space="preserve">, </w:t>
      </w:r>
      <w:r>
        <w:rPr>
          <w:rStyle w:val="a4"/>
        </w:rPr>
        <w:t>8 статьи 7</w:t>
      </w:r>
      <w:r>
        <w:t xml:space="preserve"> Закона Российской Федерации от 21 марта 1991 г. N 943-I "О налоговых органах Российской Федерации" налоговым органам предоставлено право контролировать соблюдение законодательства гражданами</w:t>
      </w:r>
      <w:r>
        <w:t>, занимающимися предпринимательской деятельностью, требовать от граждан устранения выявленных нарушений законодательства о налогах и сборах, нарушений, связанных с исчислением и уплатой других обязательных платежей в бюджетную систему Российской Федерации,</w:t>
      </w:r>
      <w:r>
        <w:t xml:space="preserve"> нарушений законодательства Российской Федерации, регулирующих предпринимательскую деятельность, а также контролировать выполнение таких требований, выносить решения о привлечении организаций и граждан к ответственности за совершение налоговых правонарушен</w:t>
      </w:r>
      <w:r>
        <w:t xml:space="preserve">ий в порядке, установленном </w:t>
      </w:r>
      <w:r>
        <w:rPr>
          <w:rStyle w:val="a4"/>
        </w:rPr>
        <w:t>Налоговым кодексом</w:t>
      </w:r>
      <w:r>
        <w:t xml:space="preserve"> Российской Федерации.</w:t>
      </w:r>
    </w:p>
    <w:p w:rsidR="00000000" w:rsidRDefault="001E0F68">
      <w:r>
        <w:t xml:space="preserve">Как усматривается из материалов дела, </w:t>
      </w:r>
      <w:proofErr w:type="spellStart"/>
      <w:r>
        <w:t>Вац</w:t>
      </w:r>
      <w:proofErr w:type="spellEnd"/>
      <w:r>
        <w:t> А.В. является собственником земельного участка и нежилого помещения на основании договора купли-продажи от 2</w:t>
      </w:r>
      <w:r>
        <w:t xml:space="preserve">8 сентября 2007 г., согласно которому названный объект недвижимости приобретался как административное здание, не предназначенное для проживания либо иных личных нужд, является нежилым помещением площадью ... кв.м и сдавался в аренду филиалу ОАО "Мобильные </w:t>
      </w:r>
      <w:proofErr w:type="spellStart"/>
      <w:r>
        <w:t>ТелеСистемы</w:t>
      </w:r>
      <w:proofErr w:type="spellEnd"/>
      <w:r>
        <w:t>" в соответствии с договорами аренды от 1 июня 2009 г. N 1 и от 1 сентября 2011 г. N 1.</w:t>
      </w:r>
    </w:p>
    <w:p w:rsidR="00000000" w:rsidRDefault="001E0F68">
      <w:r>
        <w:t>Пунктом 1.5 договора аренды от 1 июня 2009 г. предусмотрено, что помещения, являющиеся объектом договора, предоставляются арендатору для использования в адми</w:t>
      </w:r>
      <w:r>
        <w:t>нистративных целях (размещение сотрудников технической службы, архива, хранения оборудования).</w:t>
      </w:r>
    </w:p>
    <w:p w:rsidR="00000000" w:rsidRDefault="001E0F68">
      <w:r>
        <w:t xml:space="preserve">Согласно пункту 2.3 договора срок договора аренды составлял с 1 июня 2009 г. по 30 апреля 2010 г. с выплатой </w:t>
      </w:r>
      <w:proofErr w:type="spellStart"/>
      <w:r>
        <w:t>Вацу</w:t>
      </w:r>
      <w:proofErr w:type="spellEnd"/>
      <w:r>
        <w:t> В.А. ежемесячно арендной платы в сумме ... руб.</w:t>
      </w:r>
    </w:p>
    <w:p w:rsidR="00000000" w:rsidRDefault="001E0F68">
      <w:r>
        <w:t>Аналогичные положения содержатся и в договоре аренды от 1 сентября 2011 г. N 1, срок действия которого установлен с 1 сентября 2011 г. по 31 июля 2012 г., арендная плата составила ... руб.</w:t>
      </w:r>
    </w:p>
    <w:p w:rsidR="00000000" w:rsidRDefault="001E0F68">
      <w:r>
        <w:t>Кроме того, указанные договоры аренды содержат условия о сроках, и</w:t>
      </w:r>
      <w:r>
        <w:t>зменении или расторжении договора, санкциях за ненадлежащее исполнение обязательств по договору, то есть в них учтены возможные риски, подлежащие учёту при осуществлении предпринимательской деятельности.</w:t>
      </w:r>
    </w:p>
    <w:p w:rsidR="00000000" w:rsidRDefault="001E0F68">
      <w:r>
        <w:t>При таком положении суд первой инстанции сделал прав</w:t>
      </w:r>
      <w:r>
        <w:t xml:space="preserve">ильный вывод о том, что </w:t>
      </w:r>
      <w:proofErr w:type="spellStart"/>
      <w:r>
        <w:t>Вац</w:t>
      </w:r>
      <w:proofErr w:type="spellEnd"/>
      <w:r>
        <w:t> В.А. сдавал принадлежащее ему на праве собственности нежилое административное здание юридическому лицу для использования в производственной деятельности арендатора, целью сдачи помещений в аренду было систематическое получение п</w:t>
      </w:r>
      <w:r>
        <w:t xml:space="preserve">рибыли, следовательно, </w:t>
      </w:r>
      <w:proofErr w:type="spellStart"/>
      <w:r>
        <w:t>Вац</w:t>
      </w:r>
      <w:proofErr w:type="spellEnd"/>
      <w:r>
        <w:t> В.А. являлся плательщиком НДС, в связи с неуплатой которого законно привлечён к ответственности за совершение налогового правонарушения.</w:t>
      </w:r>
    </w:p>
    <w:p w:rsidR="00000000" w:rsidRDefault="001E0F68">
      <w:r>
        <w:t xml:space="preserve">Утверждение </w:t>
      </w:r>
      <w:proofErr w:type="spellStart"/>
      <w:r>
        <w:t>Ваца</w:t>
      </w:r>
      <w:proofErr w:type="spellEnd"/>
      <w:r>
        <w:t xml:space="preserve"> В.А. о том, что сдача имущества в аренду имела целью минимизацию издержек, </w:t>
      </w:r>
      <w:r>
        <w:t>связанных с владением нежилым помещением, не опровергают выводов налогового органа о том, что полученный доход от сдачи имущества в аренду непосредственно связан с предпринимательской деятельностью.</w:t>
      </w:r>
    </w:p>
    <w:p w:rsidR="00000000" w:rsidRDefault="001E0F68">
      <w:r>
        <w:t>Приведённые обстоятельства свидетельствуют о незаконности</w:t>
      </w:r>
      <w:r>
        <w:t xml:space="preserve"> апелляционного определения.</w:t>
      </w:r>
    </w:p>
    <w:p w:rsidR="00000000" w:rsidRDefault="001E0F68">
      <w:r>
        <w:t xml:space="preserve">Судебная коллегия по административным делам Верховного Суда Российской Федерации, установив, что допущенные судом апелляционной инстанции нарушения норм материального права являются существенными, повлекли принятие незаконного </w:t>
      </w:r>
      <w:r>
        <w:t>судебного постановления, полагает необходимым отменить апелляционное определение судебной коллегии по гражданским делам Амурского областного суда от 12 февраля 2014 г., оставив в силе решение Благовещенского городского суда Амурской области от 5 сентября 2</w:t>
      </w:r>
      <w:r>
        <w:t>013 г.</w:t>
      </w:r>
    </w:p>
    <w:p w:rsidR="00000000" w:rsidRDefault="001E0F68">
      <w:bookmarkStart w:id="0" w:name="sub_1111"/>
      <w:r>
        <w:t xml:space="preserve">На основании изложенного Судебная коллегия по административным делам Верховного Суда Российской Федерации, руководствуясь </w:t>
      </w:r>
      <w:r>
        <w:rPr>
          <w:rStyle w:val="a4"/>
        </w:rPr>
        <w:t>статьями 387</w:t>
      </w:r>
      <w:r>
        <w:t xml:space="preserve"> и </w:t>
      </w:r>
      <w:r>
        <w:rPr>
          <w:rStyle w:val="a4"/>
        </w:rPr>
        <w:t>390</w:t>
      </w:r>
      <w:r>
        <w:t xml:space="preserve"> Гражданского процессуаль</w:t>
      </w:r>
      <w:r>
        <w:t>ного кодекса Российской Федерации, определила:</w:t>
      </w:r>
    </w:p>
    <w:bookmarkEnd w:id="0"/>
    <w:p w:rsidR="00000000" w:rsidRDefault="001E0F68">
      <w:r>
        <w:t xml:space="preserve">отменить апелляционное определение судебной коллегии по гражданским делам Амурского областного суда от 12 февраля 2014 г., оставить в силе решение Благовещенского городского суда Амурской области от 5 </w:t>
      </w:r>
      <w:r>
        <w:t>сентября 2013 г.</w:t>
      </w:r>
    </w:p>
    <w:p w:rsidR="00000000" w:rsidRDefault="001E0F68"/>
    <w:tbl>
      <w:tblPr>
        <w:tblW w:w="0" w:type="auto"/>
        <w:tblInd w:w="108" w:type="dxa"/>
        <w:tblLook w:val="0000"/>
      </w:tblPr>
      <w:tblGrid>
        <w:gridCol w:w="6600"/>
        <w:gridCol w:w="3299"/>
      </w:tblGrid>
      <w:tr w:rsidR="00000000" w:rsidRPr="001E0F68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1E0F68" w:rsidRDefault="001E0F68">
            <w:pPr>
              <w:pStyle w:val="afff0"/>
              <w:rPr>
                <w:rFonts w:eastAsiaTheme="minorEastAsia"/>
              </w:rPr>
            </w:pPr>
            <w:r w:rsidRPr="001E0F68">
              <w:rPr>
                <w:rFonts w:eastAsiaTheme="minorEastAsia"/>
              </w:rPr>
              <w:t>Председательствующий</w:t>
            </w: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1E0F68" w:rsidRDefault="001E0F68">
            <w:pPr>
              <w:pStyle w:val="aff7"/>
              <w:jc w:val="right"/>
              <w:rPr>
                <w:rFonts w:eastAsiaTheme="minorEastAsia"/>
              </w:rPr>
            </w:pPr>
            <w:r w:rsidRPr="001E0F68">
              <w:rPr>
                <w:rFonts w:eastAsiaTheme="minorEastAsia"/>
              </w:rPr>
              <w:t>Меркулов В.П.</w:t>
            </w:r>
          </w:p>
        </w:tc>
      </w:tr>
    </w:tbl>
    <w:p w:rsidR="00000000" w:rsidRDefault="001E0F68"/>
    <w:tbl>
      <w:tblPr>
        <w:tblW w:w="0" w:type="auto"/>
        <w:tblInd w:w="108" w:type="dxa"/>
        <w:tblLook w:val="0000"/>
      </w:tblPr>
      <w:tblGrid>
        <w:gridCol w:w="6600"/>
        <w:gridCol w:w="3299"/>
      </w:tblGrid>
      <w:tr w:rsidR="00000000" w:rsidRPr="001E0F68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1E0F68" w:rsidRDefault="001E0F68">
            <w:pPr>
              <w:pStyle w:val="afff0"/>
              <w:rPr>
                <w:rFonts w:eastAsiaTheme="minorEastAsia"/>
              </w:rPr>
            </w:pPr>
            <w:r w:rsidRPr="001E0F68">
              <w:rPr>
                <w:rFonts w:eastAsiaTheme="minorEastAsia"/>
              </w:rPr>
              <w:t>Судьи</w:t>
            </w: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1E0F68" w:rsidRDefault="001E0F68">
            <w:pPr>
              <w:pStyle w:val="aff7"/>
              <w:jc w:val="right"/>
              <w:rPr>
                <w:rFonts w:eastAsiaTheme="minorEastAsia"/>
              </w:rPr>
            </w:pPr>
            <w:r w:rsidRPr="001E0F68">
              <w:rPr>
                <w:rFonts w:eastAsiaTheme="minorEastAsia"/>
              </w:rPr>
              <w:t>Горчакова Е.В.</w:t>
            </w:r>
          </w:p>
        </w:tc>
      </w:tr>
    </w:tbl>
    <w:p w:rsidR="00000000" w:rsidRDefault="001E0F68"/>
    <w:tbl>
      <w:tblPr>
        <w:tblW w:w="0" w:type="auto"/>
        <w:tblInd w:w="108" w:type="dxa"/>
        <w:tblLook w:val="0000"/>
      </w:tblPr>
      <w:tblGrid>
        <w:gridCol w:w="6600"/>
        <w:gridCol w:w="3299"/>
      </w:tblGrid>
      <w:tr w:rsidR="00000000" w:rsidRPr="001E0F68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1E0F68" w:rsidRDefault="001E0F68">
            <w:pPr>
              <w:pStyle w:val="aff7"/>
              <w:rPr>
                <w:rFonts w:eastAsiaTheme="minorEastAsia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1E0F68" w:rsidRDefault="001E0F68">
            <w:pPr>
              <w:pStyle w:val="aff7"/>
              <w:jc w:val="right"/>
              <w:rPr>
                <w:rFonts w:eastAsiaTheme="minorEastAsia"/>
              </w:rPr>
            </w:pPr>
            <w:r w:rsidRPr="001E0F68">
              <w:rPr>
                <w:rFonts w:eastAsiaTheme="minorEastAsia"/>
              </w:rPr>
              <w:t>Калинина Л.А.</w:t>
            </w:r>
          </w:p>
        </w:tc>
      </w:tr>
    </w:tbl>
    <w:p w:rsidR="001E0F68" w:rsidRDefault="001E0F68"/>
    <w:sectPr w:rsidR="001E0F68">
      <w:pgSz w:w="118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7240"/>
    <w:rsid w:val="001E0F68"/>
    <w:rsid w:val="00C47240"/>
    <w:rsid w:val="00D34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2"/>
      <w:szCs w:val="22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18"/>
      <w:szCs w:val="18"/>
    </w:rPr>
  </w:style>
  <w:style w:type="character" w:customStyle="1" w:styleId="af1">
    <w:name w:val="Заголовок своего сообщения"/>
    <w:basedOn w:val="a3"/>
    <w:uiPriority w:val="99"/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i/>
      <w:iCs/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2"/>
      <w:szCs w:val="22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1857</Words>
  <Characters>10589</Characters>
  <Application>Microsoft Office Word</Application>
  <DocSecurity>0</DocSecurity>
  <Lines>88</Lines>
  <Paragraphs>24</Paragraphs>
  <ScaleCrop>false</ScaleCrop>
  <Company>НПП "Гарант-Сервис"</Company>
  <LinksUpToDate>false</LinksUpToDate>
  <CharactersWithSpaces>12422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market</cp:lastModifiedBy>
  <cp:revision>3</cp:revision>
  <dcterms:created xsi:type="dcterms:W3CDTF">2015-06-25T10:33:00Z</dcterms:created>
  <dcterms:modified xsi:type="dcterms:W3CDTF">2015-06-25T10:35:00Z</dcterms:modified>
</cp:coreProperties>
</file>